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BB08D9" w:rsidP="000C17BA">
      <w:pPr>
        <w:pStyle w:val="MidAm"/>
      </w:pPr>
      <w:r>
        <w:t>GIPSA</w:t>
      </w:r>
      <w:r w:rsidR="001E1446">
        <w:t xml:space="preserve"> issues</w:t>
      </w:r>
      <w:r>
        <w:t xml:space="preserve"> final rule on suspension of </w:t>
      </w:r>
      <w:r w:rsidR="008F74D2">
        <w:t>bird deliveries</w:t>
      </w:r>
    </w:p>
    <w:p w:rsidR="000C17BA" w:rsidRDefault="000C17BA">
      <w:r>
        <w:tab/>
        <w:t>One of the most interesting parts of the GIPSA (Grain Inspection Packers and Stockyards Administration) final rule that was published in the Federal Register on December 9, 2011 is the discussion of comments that were received by GIPSA in response to the proposed rule, published on June 22, 2010. I</w:t>
      </w:r>
      <w:bookmarkStart w:id="0" w:name="_GoBack"/>
      <w:bookmarkEnd w:id="0"/>
      <w:r>
        <w:t>n making that statement, we admit that our tastes in reading material would not make the New York Times</w:t>
      </w:r>
      <w:r w:rsidR="00104981">
        <w:t xml:space="preserve"> Best Sellers list, but that makes the comments no less interesting for those of us who have an interest in agricultural policy.</w:t>
      </w:r>
      <w:r w:rsidR="00C61F05">
        <w:t xml:space="preserve"> A full copy of the full rule is available at </w:t>
      </w:r>
      <w:hyperlink r:id="rId6" w:history="1">
        <w:r w:rsidR="00C61F05" w:rsidRPr="00A454E0">
          <w:rPr>
            <w:rStyle w:val="Hyperlink"/>
          </w:rPr>
          <w:t>http://www.gipsa.usda.gov/Federal%20Register/fr11/12-9-11.pdf</w:t>
        </w:r>
      </w:hyperlink>
      <w:r w:rsidR="00C61F05">
        <w:t>.</w:t>
      </w:r>
    </w:p>
    <w:p w:rsidR="00104981" w:rsidRDefault="00104981">
      <w:r>
        <w:tab/>
        <w:t xml:space="preserve">The section discussing the comments that were received by GIPSA follows a brief introduction, a background section that explains the rationale for the making of this rule, </w:t>
      </w:r>
      <w:r w:rsidR="00643327">
        <w:t xml:space="preserve">and </w:t>
      </w:r>
      <w:r>
        <w:t>a summary of the provisions not being finalized</w:t>
      </w:r>
      <w:r w:rsidR="00643327">
        <w:t>—we discussed those provisions in the previous column. It also follows a listing of the rules being finalized by GIPSA.</w:t>
      </w:r>
    </w:p>
    <w:p w:rsidR="00643327" w:rsidRDefault="00643327" w:rsidP="001F3783">
      <w:r>
        <w:tab/>
        <w:t xml:space="preserve">Originally the proposed rule allowed for a 60-day comment period, ending on August 23, 2010. In response to requests to extend the comment period, the final date for comments was extended to November 22, 2010. During that </w:t>
      </w:r>
      <w:r w:rsidR="00DE0BE3">
        <w:t xml:space="preserve">150-day </w:t>
      </w:r>
      <w:r>
        <w:t xml:space="preserve">period over 61,000 comments were received. In addition because two United States Department of Agriculture/Department of Justice “Workshops on Competition in Agriculture” were held during the comment period, </w:t>
      </w:r>
      <w:r w:rsidR="001F3783">
        <w:t>“the Secretary [of Agriculture] announced that any comments made in those forums would be considered comments on the rule.”</w:t>
      </w:r>
    </w:p>
    <w:p w:rsidR="001F3783" w:rsidRDefault="001F3783" w:rsidP="001F3783">
      <w:r>
        <w:tab/>
        <w:t>The comments included in the December 9, 2011 final rule only deal with the 4 sectio</w:t>
      </w:r>
      <w:r w:rsidR="008E640C">
        <w:t xml:space="preserve">ns being finalized at this time and the analysis of the costs and benefits of the final rule. Because the discussion of comments and GIPSA’s response to the comments run over 5 pages, we will highlight only </w:t>
      </w:r>
      <w:r w:rsidR="00580888">
        <w:t>the</w:t>
      </w:r>
      <w:r w:rsidR="008E640C">
        <w:t xml:space="preserve"> comments and responses </w:t>
      </w:r>
      <w:r w:rsidR="00580888">
        <w:t xml:space="preserve">on the section on the suspension of delivery of birds </w:t>
      </w:r>
      <w:r w:rsidR="008E640C">
        <w:t>in this column.</w:t>
      </w:r>
    </w:p>
    <w:p w:rsidR="008E640C" w:rsidRDefault="008E640C" w:rsidP="00580888">
      <w:r>
        <w:tab/>
      </w:r>
      <w:r w:rsidR="00580888">
        <w:t>This section “indicates the various criteria the Secretary may consider when determining whether a live poultry dealer has provided reasonable notice to poultry growers of any suspension of the delivery of birds under a poultry growing arrangement. These criteria include, but are not limited to, a written notice at least 90 days prior to suspension, written notice of the reason for the suspension of delivery, the length of the suspension of delivery, and the anticipated date the delivery of birds will resume.”</w:t>
      </w:r>
    </w:p>
    <w:p w:rsidR="001E1446" w:rsidRDefault="001E1446" w:rsidP="00580888"/>
    <w:p w:rsidR="001E1446" w:rsidRDefault="00B46017" w:rsidP="00580888">
      <w:pPr>
        <w:rPr>
          <w:b/>
        </w:rPr>
      </w:pPr>
      <w:r>
        <w:rPr>
          <w:b/>
        </w:rPr>
        <w:t xml:space="preserve">Comments Received on </w:t>
      </w:r>
      <w:r w:rsidR="00BB08D9">
        <w:rPr>
          <w:b/>
        </w:rPr>
        <w:t>Bird Delivery Suspension Rules</w:t>
      </w:r>
    </w:p>
    <w:p w:rsidR="00580888" w:rsidRDefault="001E1446" w:rsidP="00580888">
      <w:r>
        <w:rPr>
          <w:b/>
        </w:rPr>
        <w:tab/>
      </w:r>
      <w:r w:rsidR="00580888">
        <w:t>“GIPSA received several comments in favor of this provision. The comments generally said that growers were struggling financially because there was too much time between flocks and too few flocks. One comment stated that growers need 90 days to make financial arrangements to mitigate the effects of a reduction in cash flow caused by a suspension of deliveries</w:t>
      </w:r>
      <w:r w:rsidR="00A00E4E">
        <w:t xml:space="preserve">…. </w:t>
      </w:r>
      <w:r w:rsidR="00580888">
        <w:t>In addition, many</w:t>
      </w:r>
      <w:r w:rsidR="00A00E4E">
        <w:t xml:space="preserve"> </w:t>
      </w:r>
      <w:r w:rsidR="00580888">
        <w:t xml:space="preserve">growers agreed this </w:t>
      </w:r>
      <w:r w:rsidR="00A00E4E">
        <w:t xml:space="preserve">would cause a </w:t>
      </w:r>
      <w:r w:rsidR="00580888">
        <w:t>reduction</w:t>
      </w:r>
      <w:r w:rsidR="00A00E4E">
        <w:t xml:space="preserve"> in the use of extended layouts </w:t>
      </w:r>
      <w:r w:rsidR="00580888">
        <w:t xml:space="preserve">as a form </w:t>
      </w:r>
      <w:r w:rsidR="00A00E4E">
        <w:t xml:space="preserve">of retaliation, usually with no </w:t>
      </w:r>
      <w:r w:rsidR="00580888">
        <w:t>notice, fo</w:t>
      </w:r>
      <w:r w:rsidR="00A00E4E">
        <w:t xml:space="preserve">r arbitrary reasons or to force </w:t>
      </w:r>
      <w:r w:rsidR="00580888">
        <w:t>upgrades.</w:t>
      </w:r>
    </w:p>
    <w:p w:rsidR="00580888" w:rsidRDefault="00A00E4E" w:rsidP="00580888">
      <w:r>
        <w:tab/>
        <w:t>“</w:t>
      </w:r>
      <w:r w:rsidR="00580888">
        <w:t>The</w:t>
      </w:r>
      <w:r>
        <w:t xml:space="preserve">re were a few opposing comments </w:t>
      </w:r>
      <w:r w:rsidR="00580888">
        <w:t>from liv</w:t>
      </w:r>
      <w:r>
        <w:t xml:space="preserve">e poultry dealers, stating that </w:t>
      </w:r>
      <w:r w:rsidR="00580888">
        <w:t>forcing them to work with a term</w:t>
      </w:r>
      <w:r>
        <w:t xml:space="preserve">inated </w:t>
      </w:r>
      <w:r w:rsidR="00580888">
        <w:t>grower fo</w:t>
      </w:r>
      <w:r>
        <w:t xml:space="preserve">r 90 days would put their birds </w:t>
      </w:r>
      <w:r w:rsidR="00580888">
        <w:t>at r</w:t>
      </w:r>
      <w:r>
        <w:t xml:space="preserve">isk. They argued that suspended </w:t>
      </w:r>
      <w:r w:rsidR="00580888">
        <w:t>growers</w:t>
      </w:r>
      <w:r>
        <w:t xml:space="preserve"> have no incentive to do a good </w:t>
      </w:r>
      <w:r w:rsidR="00580888">
        <w:t>job wit</w:t>
      </w:r>
      <w:r>
        <w:t xml:space="preserve">h their last flock and may even </w:t>
      </w:r>
      <w:r w:rsidR="00580888">
        <w:t>aban</w:t>
      </w:r>
      <w:r>
        <w:t xml:space="preserve">don their operation putting the </w:t>
      </w:r>
      <w:r w:rsidR="00580888">
        <w:t>birds</w:t>
      </w:r>
      <w:r>
        <w:t xml:space="preserve"> at risk. Also, growers who are </w:t>
      </w:r>
      <w:r w:rsidR="00580888">
        <w:t xml:space="preserve">suspended because of </w:t>
      </w:r>
      <w:r>
        <w:lastRenderedPageBreak/>
        <w:t xml:space="preserve">poor flock </w:t>
      </w:r>
      <w:r w:rsidR="00580888">
        <w:t>managem</w:t>
      </w:r>
      <w:r>
        <w:t xml:space="preserve">ent would put the birds at risk </w:t>
      </w:r>
      <w:r w:rsidR="00580888">
        <w:t>and c</w:t>
      </w:r>
      <w:r>
        <w:t xml:space="preserve">ause the live poultry dealer to </w:t>
      </w:r>
      <w:r w:rsidR="00580888">
        <w:t xml:space="preserve">receive </w:t>
      </w:r>
      <w:r>
        <w:t xml:space="preserve">inferior product. An additional </w:t>
      </w:r>
      <w:r w:rsidR="00580888">
        <w:t>concern</w:t>
      </w:r>
      <w:r>
        <w:t xml:space="preserve"> was for the safety of the live poultry dealer’s employees from physical threats following the </w:t>
      </w:r>
      <w:r w:rsidR="00580888">
        <w:t>suspension of deliveries.</w:t>
      </w:r>
    </w:p>
    <w:p w:rsidR="00580888" w:rsidRDefault="00A00E4E" w:rsidP="00580888">
      <w:r>
        <w:tab/>
        <w:t xml:space="preserve">“Other comments opposed the rule </w:t>
      </w:r>
      <w:r w:rsidR="00580888">
        <w:t>sayi</w:t>
      </w:r>
      <w:r>
        <w:t xml:space="preserve">ng it did not give live poultry </w:t>
      </w:r>
      <w:r w:rsidR="00580888">
        <w:t>dealers the flexibility they needed to</w:t>
      </w:r>
      <w:r>
        <w:t xml:space="preserve"> </w:t>
      </w:r>
      <w:r w:rsidR="00580888">
        <w:t>adjust to market conditions. For</w:t>
      </w:r>
      <w:r>
        <w:t xml:space="preserve"> </w:t>
      </w:r>
      <w:r w:rsidR="00580888">
        <w:t>example, live poultry dealers may need</w:t>
      </w:r>
      <w:r>
        <w:t xml:space="preserve"> </w:t>
      </w:r>
      <w:r w:rsidR="00580888">
        <w:t>to sus</w:t>
      </w:r>
      <w:r>
        <w:t xml:space="preserve">pend the delivery of birds when </w:t>
      </w:r>
      <w:r w:rsidR="00580888">
        <w:t>the dem</w:t>
      </w:r>
      <w:r>
        <w:t xml:space="preserve">and for product suddenly falls. There are times when a business </w:t>
      </w:r>
      <w:r w:rsidR="00580888">
        <w:t>forecast</w:t>
      </w:r>
      <w:r>
        <w:t xml:space="preserve">er cannot know 90 days ahead of </w:t>
      </w:r>
      <w:r w:rsidR="00580888">
        <w:t>tim</w:t>
      </w:r>
      <w:r>
        <w:t xml:space="preserve">e that the company will need to </w:t>
      </w:r>
      <w:r w:rsidR="00580888">
        <w:t>curtail production. Certain grower</w:t>
      </w:r>
      <w:r>
        <w:t xml:space="preserve"> specific reasons would make it </w:t>
      </w:r>
      <w:r w:rsidR="00580888">
        <w:t>practica</w:t>
      </w:r>
      <w:r>
        <w:t xml:space="preserve">lly impossible to give 90 days’ </w:t>
      </w:r>
      <w:r w:rsidR="00580888">
        <w:t>suspension notice, they said.</w:t>
      </w:r>
    </w:p>
    <w:p w:rsidR="00580888" w:rsidRDefault="00A00E4E" w:rsidP="00580888">
      <w:r>
        <w:tab/>
        <w:t>“</w:t>
      </w:r>
      <w:r w:rsidR="00580888">
        <w:t>One comment su</w:t>
      </w:r>
      <w:r>
        <w:t xml:space="preserve">ggested the exact </w:t>
      </w:r>
      <w:r w:rsidR="00580888">
        <w:t>date of r</w:t>
      </w:r>
      <w:r>
        <w:t xml:space="preserve">e-delivery following suspension </w:t>
      </w:r>
      <w:r w:rsidR="00580888">
        <w:t>may b</w:t>
      </w:r>
      <w:r>
        <w:t xml:space="preserve">e impossible to determine. They said GIPSA should change the </w:t>
      </w:r>
      <w:r w:rsidR="00580888">
        <w:t>requirem</w:t>
      </w:r>
      <w:r>
        <w:t xml:space="preserve">ents for suspension of delivery </w:t>
      </w:r>
      <w:r w:rsidR="00580888">
        <w:t xml:space="preserve">notices </w:t>
      </w:r>
      <w:r>
        <w:t xml:space="preserve">to say the notices did not have </w:t>
      </w:r>
      <w:r w:rsidR="00580888">
        <w:t xml:space="preserve">to </w:t>
      </w:r>
      <w:r>
        <w:t xml:space="preserve">state the date deliveries would </w:t>
      </w:r>
      <w:r w:rsidR="00580888">
        <w:t>resume.</w:t>
      </w:r>
    </w:p>
    <w:p w:rsidR="00580888" w:rsidRDefault="00A00E4E" w:rsidP="00580888">
      <w:r>
        <w:tab/>
        <w:t>“</w:t>
      </w:r>
      <w:r w:rsidR="00580888">
        <w:t>A</w:t>
      </w:r>
      <w:r>
        <w:t xml:space="preserve"> commenter suggested bankruptcy </w:t>
      </w:r>
      <w:proofErr w:type="gramStart"/>
      <w:r w:rsidR="00580888">
        <w:t>be</w:t>
      </w:r>
      <w:proofErr w:type="gramEnd"/>
      <w:r>
        <w:t xml:space="preserve"> added to the list of emergency </w:t>
      </w:r>
      <w:r w:rsidR="00580888">
        <w:t>situations</w:t>
      </w:r>
      <w:r>
        <w:t xml:space="preserve"> for which live poultry dealers </w:t>
      </w:r>
      <w:r w:rsidR="00580888">
        <w:t>m</w:t>
      </w:r>
      <w:r>
        <w:t xml:space="preserve">ight see a waiver of the notice </w:t>
      </w:r>
      <w:r w:rsidR="00580888">
        <w:t>requi</w:t>
      </w:r>
      <w:r>
        <w:t xml:space="preserve">rement in subsection (c) of the </w:t>
      </w:r>
      <w:r w:rsidR="00580888">
        <w:t>proposed rule.</w:t>
      </w:r>
      <w:r>
        <w:t>”</w:t>
      </w:r>
    </w:p>
    <w:p w:rsidR="001E1446" w:rsidRDefault="001E1446" w:rsidP="00580888"/>
    <w:p w:rsidR="001E1446" w:rsidRDefault="00BB08D9" w:rsidP="00A00E4E">
      <w:pPr>
        <w:rPr>
          <w:b/>
        </w:rPr>
      </w:pPr>
      <w:r>
        <w:rPr>
          <w:b/>
        </w:rPr>
        <w:t>GIPSA Response</w:t>
      </w:r>
    </w:p>
    <w:p w:rsidR="00A00E4E" w:rsidRDefault="001E1446" w:rsidP="00A00E4E">
      <w:r>
        <w:rPr>
          <w:b/>
        </w:rPr>
        <w:tab/>
      </w:r>
      <w:r w:rsidR="00A00E4E">
        <w:t>In its response, GIPSA clarified that this section dealt only with the suspension of delivery and not terminations. The agency also wrote that “this section is a list of criteria the</w:t>
      </w:r>
    </w:p>
    <w:p w:rsidR="00A00E4E" w:rsidRDefault="00A00E4E" w:rsidP="00A00E4E">
      <w:r>
        <w:t>Secretary may consider in determining whether reasonable notice of suspension of birds has been given; not a list of prohibitions.”</w:t>
      </w:r>
    </w:p>
    <w:p w:rsidR="00A00E4E" w:rsidRDefault="00A00E4E" w:rsidP="00A00E4E">
      <w:r>
        <w:tab/>
        <w:t>They also wrote “with respect to concerns that providing a notice of suspension while the grower was in the midst of raising a flock would risk grower neglect or nonperformance, we feel poultry growing arrangements generally have other terms related to animal welfare or neglect that could be exercised to address this concern. Therefore, we decided not to adjust the section based on this comment. Similarly, threats against live poultry dealer employees can be addressed through other contract terms or reporting such actions to local law enforcement.</w:t>
      </w:r>
    </w:p>
    <w:p w:rsidR="00A00E4E" w:rsidRDefault="00A00E4E" w:rsidP="00A00E4E">
      <w:r>
        <w:tab/>
        <w:t>“Some commenters suggested live poultry dealers could not plan 90 days in advance because of changes in the market. Considering the fact live poultry dealers coordinate the production process from the hatchery to slaughter, we believe planning is generally possible under the 90-day timeframe. Within this timeframe, live poultry dealers would usually know with some certainty what their production needs were for the current flock under production. A 90-day notice period would obligate a live poultry dealer to place at most one additional flock after the c</w:t>
      </w:r>
      <w:r w:rsidR="00F068C3">
        <w:t xml:space="preserve">urrent flock. Finally, the rule </w:t>
      </w:r>
      <w:r>
        <w:t>provides a criterion to consider</w:t>
      </w:r>
      <w:r w:rsidR="00F068C3">
        <w:t xml:space="preserve"> in </w:t>
      </w:r>
      <w:r>
        <w:t>det</w:t>
      </w:r>
      <w:r w:rsidR="00F068C3">
        <w:t xml:space="preserve">ermining whether a live poultry </w:t>
      </w:r>
      <w:r>
        <w:t>dealer’</w:t>
      </w:r>
      <w:r w:rsidR="00F068C3">
        <w:t xml:space="preserve">s ability to provide notice has been impacted by a variety of </w:t>
      </w:r>
      <w:r>
        <w:t>unforeseen emergency situations.</w:t>
      </w:r>
    </w:p>
    <w:p w:rsidR="00A00E4E" w:rsidRDefault="00F068C3" w:rsidP="00A00E4E">
      <w:r>
        <w:tab/>
        <w:t>“</w:t>
      </w:r>
      <w:r w:rsidR="00A00E4E">
        <w:t>Whi</w:t>
      </w:r>
      <w:r>
        <w:t xml:space="preserve">le we agree the exact date that </w:t>
      </w:r>
      <w:r w:rsidR="00A00E4E">
        <w:t>flock de</w:t>
      </w:r>
      <w:r>
        <w:t xml:space="preserve">liveries will resume may not be </w:t>
      </w:r>
      <w:r w:rsidR="00A00E4E">
        <w:t>known, t</w:t>
      </w:r>
      <w:r>
        <w:t>his final rule only establishes s</w:t>
      </w:r>
      <w:r w:rsidR="00A00E4E">
        <w:t>ome crit</w:t>
      </w:r>
      <w:r>
        <w:t xml:space="preserve">eria to be considered, and does </w:t>
      </w:r>
      <w:r w:rsidR="00A00E4E">
        <w:t>not</w:t>
      </w:r>
      <w:r>
        <w:t xml:space="preserve"> impose a specific requirement. </w:t>
      </w:r>
      <w:r w:rsidR="00A00E4E">
        <w:t>Addit</w:t>
      </w:r>
      <w:r>
        <w:t xml:space="preserve">ionally, the rule discusses the </w:t>
      </w:r>
      <w:r w:rsidR="00A00E4E">
        <w:t>‘‘anticip</w:t>
      </w:r>
      <w:r>
        <w:t xml:space="preserve">ated date,’’ which implies some </w:t>
      </w:r>
      <w:r w:rsidR="00A00E4E">
        <w:t>level o</w:t>
      </w:r>
      <w:r>
        <w:t xml:space="preserve">f uncertainty and adjustment if </w:t>
      </w:r>
      <w:r w:rsidR="00A00E4E">
        <w:t>condi</w:t>
      </w:r>
      <w:r>
        <w:t xml:space="preserve">tions change. We generally feel </w:t>
      </w:r>
      <w:r w:rsidR="00A00E4E">
        <w:t>providing an idea about th</w:t>
      </w:r>
      <w:r>
        <w:t xml:space="preserve">e length of </w:t>
      </w:r>
      <w:r w:rsidR="00A00E4E">
        <w:t>the sus</w:t>
      </w:r>
      <w:r>
        <w:t xml:space="preserve">pension is an important part of </w:t>
      </w:r>
      <w:r w:rsidR="00A00E4E">
        <w:t>these cri</w:t>
      </w:r>
      <w:r>
        <w:t xml:space="preserve">teria and included this in this </w:t>
      </w:r>
      <w:r w:rsidR="00A00E4E">
        <w:t>final rul</w:t>
      </w:r>
      <w:r>
        <w:t xml:space="preserve">e. With respect to bankruptcies as emergencies, there have been </w:t>
      </w:r>
      <w:r w:rsidR="00A00E4E">
        <w:t>bankrupt</w:t>
      </w:r>
      <w:r>
        <w:t xml:space="preserve">cies of live poultry dealers in </w:t>
      </w:r>
      <w:r w:rsidR="00A00E4E">
        <w:t xml:space="preserve">recent </w:t>
      </w:r>
      <w:r>
        <w:t xml:space="preserve">years and we agree these events </w:t>
      </w:r>
      <w:r w:rsidR="00A00E4E">
        <w:t xml:space="preserve">do </w:t>
      </w:r>
      <w:r>
        <w:t xml:space="preserve">create emergency situations. We </w:t>
      </w:r>
      <w:r w:rsidR="00A00E4E">
        <w:t>includ</w:t>
      </w:r>
      <w:r>
        <w:t xml:space="preserve">ed bankruptcy among the list of </w:t>
      </w:r>
      <w:r w:rsidR="00A00E4E">
        <w:t>unfor</w:t>
      </w:r>
      <w:r>
        <w:t xml:space="preserve">eseen emergency situations that the Secretary may consider when </w:t>
      </w:r>
      <w:r w:rsidR="00A00E4E">
        <w:t>determ</w:t>
      </w:r>
      <w:r>
        <w:t xml:space="preserve">ining whether or not reasonable </w:t>
      </w:r>
      <w:r w:rsidR="00A00E4E">
        <w:t>notice h</w:t>
      </w:r>
      <w:r>
        <w:t xml:space="preserve">as been given for suspension of </w:t>
      </w:r>
      <w:r w:rsidR="00A00E4E">
        <w:t>delivery of birds.</w:t>
      </w:r>
      <w:r>
        <w:t>”</w:t>
      </w:r>
    </w:p>
    <w:p w:rsidR="001E1446" w:rsidRDefault="001E1446" w:rsidP="00A00E4E"/>
    <w:p w:rsidR="001E1446" w:rsidRDefault="008F74D2" w:rsidP="00A00E4E">
      <w:pPr>
        <w:rPr>
          <w:b/>
        </w:rPr>
      </w:pPr>
      <w:r>
        <w:rPr>
          <w:b/>
        </w:rPr>
        <w:t>Impressions</w:t>
      </w:r>
    </w:p>
    <w:p w:rsidR="00C02771" w:rsidRDefault="001E1446" w:rsidP="00A00E4E">
      <w:r>
        <w:rPr>
          <w:b/>
        </w:rPr>
        <w:tab/>
      </w:r>
      <w:r w:rsidR="00C02771">
        <w:t xml:space="preserve">What becomes clear in reading this material is the importance of </w:t>
      </w:r>
      <w:r w:rsidR="00F352B8">
        <w:t xml:space="preserve">the time that producers took in responding to the proposed rule. In some circles it is felt that industry has had an outsized impact on the rulemaking process compared to producers, but we find no evidence of this in the administrative portion of the rulemaking process. Rather than looking at the work of GIPSA personnel in the rulemaking process, </w:t>
      </w:r>
      <w:r w:rsidR="0073732C">
        <w:t xml:space="preserve">dissatisfied </w:t>
      </w:r>
      <w:r w:rsidR="00F352B8">
        <w:t>producers should look at Congress to see the impact that the industry has had on the rulemaking process—14 of 18 sections were not finalized in the current rule as the result of a last-minute addition to a must-pass piece of legislation.</w:t>
      </w:r>
    </w:p>
    <w:p w:rsidR="00F068C3" w:rsidRDefault="00F068C3" w:rsidP="00A00E4E">
      <w:r>
        <w:tab/>
        <w:t>The sections on additional capital investments criteria, reasonable period of time to remedy breach of contract, and arbitration follows a similar pattern that summarizes the various types of comments that were received by the agency and the GIPSA’s response to the comments. In the next column, we will deal with the comments and response with regard to arbitration and the section on regulatory impact analysis.</w:t>
      </w:r>
    </w:p>
    <w:p w:rsidR="00496FBE" w:rsidRDefault="00F068C3" w:rsidP="00A00E4E">
      <w:r>
        <w:tab/>
      </w:r>
    </w:p>
    <w:p w:rsidR="00496FBE" w:rsidRDefault="00496FBE" w:rsidP="00496FBE">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Cs/>
            <w:color w:val="0658B5"/>
          </w:rPr>
          <w:t>http://www.agpolicy.org</w:t>
        </w:r>
      </w:hyperlink>
      <w:r>
        <w:rPr>
          <w:i/>
          <w:iCs/>
          <w:color w:val="000000"/>
        </w:rPr>
        <w:t>.</w:t>
      </w:r>
    </w:p>
    <w:p w:rsidR="00496FBE" w:rsidRDefault="00496FBE" w:rsidP="00496FBE">
      <w:pPr>
        <w:jc w:val="left"/>
        <w:rPr>
          <w:color w:val="000000"/>
        </w:rPr>
      </w:pPr>
      <w:r>
        <w:rPr>
          <w:color w:val="000000"/>
        </w:rPr>
        <w:t> </w:t>
      </w:r>
    </w:p>
    <w:p w:rsidR="00496FBE" w:rsidRDefault="00496FBE" w:rsidP="00496FBE">
      <w:pPr>
        <w:jc w:val="left"/>
        <w:rPr>
          <w:color w:val="000000"/>
        </w:rPr>
      </w:pPr>
      <w:r>
        <w:rPr>
          <w:color w:val="000000"/>
        </w:rPr>
        <w:t>Reproduction Permission Granted with:</w:t>
      </w:r>
    </w:p>
    <w:p w:rsidR="00496FBE" w:rsidRDefault="00496FBE" w:rsidP="00496FBE">
      <w:pPr>
        <w:jc w:val="left"/>
        <w:rPr>
          <w:color w:val="000000"/>
        </w:rPr>
      </w:pPr>
      <w:r>
        <w:rPr>
          <w:color w:val="000000"/>
        </w:rPr>
        <w:t>1) Full attribution to Daryll E. Ray and Harwood D. Schaffer, Agricultural Policy Analysis Center, University of Tennessee, Knoxville, TN;</w:t>
      </w:r>
    </w:p>
    <w:p w:rsidR="00F068C3" w:rsidRDefault="00496FBE" w:rsidP="00496FBE">
      <w:pPr>
        <w:jc w:val="left"/>
      </w:pPr>
      <w:r>
        <w:rPr>
          <w:color w:val="000000"/>
        </w:rPr>
        <w:t>2) An email sent to</w:t>
      </w:r>
      <w:r>
        <w:rPr>
          <w:rStyle w:val="apple-converted-space"/>
          <w:color w:val="000000"/>
        </w:rPr>
        <w:t> </w:t>
      </w:r>
      <w:hyperlink r:id="rId10"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F068C3" w:rsidSect="00A34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BA"/>
    <w:rsid w:val="000A5961"/>
    <w:rsid w:val="000C17BA"/>
    <w:rsid w:val="00104981"/>
    <w:rsid w:val="001E1446"/>
    <w:rsid w:val="001F3783"/>
    <w:rsid w:val="00270D98"/>
    <w:rsid w:val="00415552"/>
    <w:rsid w:val="00496FBE"/>
    <w:rsid w:val="00580888"/>
    <w:rsid w:val="005B3950"/>
    <w:rsid w:val="00643327"/>
    <w:rsid w:val="006B2A20"/>
    <w:rsid w:val="00723F92"/>
    <w:rsid w:val="0073732C"/>
    <w:rsid w:val="00744BA6"/>
    <w:rsid w:val="007E1125"/>
    <w:rsid w:val="00810BE3"/>
    <w:rsid w:val="00864B6D"/>
    <w:rsid w:val="008D40D1"/>
    <w:rsid w:val="008E640C"/>
    <w:rsid w:val="008F74D2"/>
    <w:rsid w:val="00A00E4E"/>
    <w:rsid w:val="00A347FE"/>
    <w:rsid w:val="00B46017"/>
    <w:rsid w:val="00BB08D9"/>
    <w:rsid w:val="00C02771"/>
    <w:rsid w:val="00C61F05"/>
    <w:rsid w:val="00CA632E"/>
    <w:rsid w:val="00D4640F"/>
    <w:rsid w:val="00DE0BE3"/>
    <w:rsid w:val="00E832C8"/>
    <w:rsid w:val="00F068C3"/>
    <w:rsid w:val="00F35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styleId="CommentReference">
    <w:name w:val="annotation reference"/>
    <w:basedOn w:val="DefaultParagraphFont"/>
    <w:rsid w:val="00B46017"/>
    <w:rPr>
      <w:sz w:val="18"/>
      <w:szCs w:val="18"/>
    </w:rPr>
  </w:style>
  <w:style w:type="paragraph" w:styleId="CommentText">
    <w:name w:val="annotation text"/>
    <w:basedOn w:val="Normal"/>
    <w:link w:val="CommentTextChar"/>
    <w:rsid w:val="00B46017"/>
    <w:rPr>
      <w:szCs w:val="24"/>
    </w:rPr>
  </w:style>
  <w:style w:type="character" w:customStyle="1" w:styleId="CommentTextChar">
    <w:name w:val="Comment Text Char"/>
    <w:basedOn w:val="DefaultParagraphFont"/>
    <w:link w:val="CommentText"/>
    <w:rsid w:val="00B46017"/>
    <w:rPr>
      <w:sz w:val="24"/>
      <w:szCs w:val="24"/>
    </w:rPr>
  </w:style>
  <w:style w:type="paragraph" w:styleId="CommentSubject">
    <w:name w:val="annotation subject"/>
    <w:basedOn w:val="CommentText"/>
    <w:next w:val="CommentText"/>
    <w:link w:val="CommentSubjectChar"/>
    <w:rsid w:val="00B46017"/>
    <w:rPr>
      <w:b/>
      <w:bCs/>
      <w:sz w:val="20"/>
      <w:szCs w:val="20"/>
    </w:rPr>
  </w:style>
  <w:style w:type="character" w:customStyle="1" w:styleId="CommentSubjectChar">
    <w:name w:val="Comment Subject Char"/>
    <w:basedOn w:val="CommentTextChar"/>
    <w:link w:val="CommentSubject"/>
    <w:rsid w:val="00B46017"/>
    <w:rPr>
      <w:b/>
      <w:bCs/>
      <w:sz w:val="24"/>
      <w:szCs w:val="24"/>
    </w:rPr>
  </w:style>
  <w:style w:type="character" w:customStyle="1" w:styleId="apple-converted-space">
    <w:name w:val="apple-converted-space"/>
    <w:rsid w:val="00496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styleId="CommentReference">
    <w:name w:val="annotation reference"/>
    <w:basedOn w:val="DefaultParagraphFont"/>
    <w:rsid w:val="00B46017"/>
    <w:rPr>
      <w:sz w:val="18"/>
      <w:szCs w:val="18"/>
    </w:rPr>
  </w:style>
  <w:style w:type="paragraph" w:styleId="CommentText">
    <w:name w:val="annotation text"/>
    <w:basedOn w:val="Normal"/>
    <w:link w:val="CommentTextChar"/>
    <w:rsid w:val="00B46017"/>
    <w:rPr>
      <w:szCs w:val="24"/>
    </w:rPr>
  </w:style>
  <w:style w:type="character" w:customStyle="1" w:styleId="CommentTextChar">
    <w:name w:val="Comment Text Char"/>
    <w:basedOn w:val="DefaultParagraphFont"/>
    <w:link w:val="CommentText"/>
    <w:rsid w:val="00B46017"/>
    <w:rPr>
      <w:sz w:val="24"/>
      <w:szCs w:val="24"/>
    </w:rPr>
  </w:style>
  <w:style w:type="paragraph" w:styleId="CommentSubject">
    <w:name w:val="annotation subject"/>
    <w:basedOn w:val="CommentText"/>
    <w:next w:val="CommentText"/>
    <w:link w:val="CommentSubjectChar"/>
    <w:rsid w:val="00B46017"/>
    <w:rPr>
      <w:b/>
      <w:bCs/>
      <w:sz w:val="20"/>
      <w:szCs w:val="20"/>
    </w:rPr>
  </w:style>
  <w:style w:type="character" w:customStyle="1" w:styleId="CommentSubjectChar">
    <w:name w:val="Comment Subject Char"/>
    <w:basedOn w:val="CommentTextChar"/>
    <w:link w:val="CommentSubject"/>
    <w:rsid w:val="00B46017"/>
    <w:rPr>
      <w:b/>
      <w:bCs/>
      <w:sz w:val="24"/>
      <w:szCs w:val="24"/>
    </w:rPr>
  </w:style>
  <w:style w:type="character" w:customStyle="1" w:styleId="apple-converted-space">
    <w:name w:val="apple-converted-space"/>
    <w:rsid w:val="0049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psa.usda.gov/Federal%20Register/fr11/12-9-11.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2012-01-04T16:05:00Z</dcterms:created>
  <dcterms:modified xsi:type="dcterms:W3CDTF">2012-01-04T16:05:00Z</dcterms:modified>
</cp:coreProperties>
</file>