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9" w:rsidRDefault="00340F6A" w:rsidP="005C14AC">
      <w:pPr>
        <w:pStyle w:val="Mid-Am"/>
        <w:jc w:val="left"/>
      </w:pPr>
      <w:r>
        <w:t>Trade effects of bi-lateral trade agreements on US agriculture</w:t>
      </w:r>
    </w:p>
    <w:p w:rsidR="00667BFE" w:rsidRDefault="00267C8F" w:rsidP="00667BFE">
      <w:pPr>
        <w:jc w:val="right"/>
        <w:rPr>
          <w:i/>
        </w:rPr>
      </w:pPr>
      <w:r>
        <w:rPr>
          <w:i/>
        </w:rPr>
        <w:t xml:space="preserve">Policy </w:t>
      </w:r>
      <w:proofErr w:type="spellStart"/>
      <w:r>
        <w:rPr>
          <w:i/>
        </w:rPr>
        <w:t>Pennings</w:t>
      </w:r>
      <w:proofErr w:type="spellEnd"/>
      <w:r>
        <w:rPr>
          <w:i/>
        </w:rPr>
        <w:t xml:space="preserve"> Column 804</w:t>
      </w:r>
    </w:p>
    <w:p w:rsidR="00667BFE" w:rsidRDefault="00667BFE" w:rsidP="00667BFE">
      <w:pPr>
        <w:jc w:val="right"/>
        <w:rPr>
          <w:i/>
        </w:rPr>
      </w:pPr>
      <w:r>
        <w:rPr>
          <w:i/>
        </w:rPr>
        <w:t>Originally published in Mid America Farmer Grower, Vol. 36, No. 51, December 3</w:t>
      </w:r>
      <w:bookmarkStart w:id="0" w:name="_GoBack"/>
      <w:bookmarkEnd w:id="0"/>
      <w:r>
        <w:rPr>
          <w:i/>
        </w:rPr>
        <w:t>1, 2015</w:t>
      </w:r>
    </w:p>
    <w:p w:rsidR="00667BFE" w:rsidRDefault="00667BFE" w:rsidP="005C14AC">
      <w:pPr>
        <w:pStyle w:val="Mid-Am"/>
        <w:jc w:val="left"/>
      </w:pPr>
    </w:p>
    <w:p w:rsidR="008A7362" w:rsidRDefault="008A7362">
      <w:r>
        <w:tab/>
        <w:t xml:space="preserve">In the past two columns we have examined changes in US agricultural trade since 1987 with both the </w:t>
      </w:r>
      <w:r w:rsidR="008D4663">
        <w:t xml:space="preserve">North American Trade Agreement (NAFTA) and </w:t>
      </w:r>
      <w:r w:rsidR="00BA37E9">
        <w:t xml:space="preserve">aggregate of all of </w:t>
      </w:r>
      <w:r w:rsidR="008D4663">
        <w:t xml:space="preserve">the </w:t>
      </w:r>
      <w:r w:rsidR="00BA37E9">
        <w:t>countries of the w</w:t>
      </w:r>
      <w:r w:rsidR="008D4663">
        <w:t>orld</w:t>
      </w:r>
      <w:r w:rsidR="00BA37E9">
        <w:t xml:space="preserve"> the US trade</w:t>
      </w:r>
      <w:r w:rsidR="00960CF7">
        <w:t>s</w:t>
      </w:r>
      <w:r w:rsidR="00BA37E9">
        <w:t xml:space="preserve"> with</w:t>
      </w:r>
      <w:r w:rsidR="008D4663">
        <w:t>. Since NAFTA, the US has entered into a number of bi-lateral or regional trade agreements and</w:t>
      </w:r>
      <w:r w:rsidR="00BA37E9">
        <w:t xml:space="preserve"> in this column</w:t>
      </w:r>
      <w:r w:rsidR="008D4663">
        <w:t xml:space="preserve"> we want to look at </w:t>
      </w:r>
      <w:r w:rsidR="00BA37E9">
        <w:t xml:space="preserve">several of the bi-lateral agreements </w:t>
      </w:r>
      <w:r w:rsidR="008D4663">
        <w:t xml:space="preserve">to see </w:t>
      </w:r>
      <w:r w:rsidR="00E01C10">
        <w:t>what happened to agricultural trade.</w:t>
      </w:r>
    </w:p>
    <w:p w:rsidR="00A129BA" w:rsidRDefault="00E01C10">
      <w:r>
        <w:tab/>
        <w:t xml:space="preserve">The US and Jordan entered into a trade agreement that went into effect in 2001. The agreement had a slightly positive impact overall, improving the US trade balance with Jordan when comparing 2014 with 2000, the last year before the trade agreement went into effect, increasing a positive trade balance from $233 million in 2000 to $573 million in 2014, for a gain of $340 million. But some of the years in between recorded a strong negative balance in trade so the cumulative trade-balance for the years 2001 to 2014 </w:t>
      </w:r>
      <w:r w:rsidR="000D6663">
        <w:t xml:space="preserve">was a -$224 million. </w:t>
      </w:r>
    </w:p>
    <w:p w:rsidR="00057380" w:rsidRDefault="00A129BA">
      <w:r>
        <w:tab/>
      </w:r>
      <w:r w:rsidR="000D6663">
        <w:t xml:space="preserve">The US balance of trade with </w:t>
      </w:r>
      <w:r w:rsidR="00057380">
        <w:t>Jordan</w:t>
      </w:r>
      <w:r w:rsidR="000D6663">
        <w:t xml:space="preserve"> in agricultural product in 2000 was $73 million.</w:t>
      </w:r>
      <w:r w:rsidR="00E01C10">
        <w:t xml:space="preserve"> </w:t>
      </w:r>
      <w:r w:rsidR="000D6663">
        <w:t>By 2014 that balance of agricultural trade had fallen to $63 million.</w:t>
      </w:r>
      <w:r w:rsidR="00057380">
        <w:t xml:space="preserve"> Crop production saw a -$21 million loss while animal production experienced a $9 million gain between 2000 and 2014. Forestry and logging and fishing, hunting and trapping each saw a $1 million gain.</w:t>
      </w:r>
    </w:p>
    <w:p w:rsidR="00057380" w:rsidRDefault="00057380">
      <w:r>
        <w:tab/>
        <w:t>The US entered into a trade agreement with Chile that went into effect in 2004. For the years that the agreement was in effect</w:t>
      </w:r>
      <w:r w:rsidR="00A129BA">
        <w:t>,</w:t>
      </w:r>
      <w:r>
        <w:t xml:space="preserve"> the US experienced an increase in agricultural exports of $122 million. At the same time, US imports of agricultural products from Chile increased by $2.0 billion, leaving the US with a -</w:t>
      </w:r>
      <w:r w:rsidR="00D85053">
        <w:t>$</w:t>
      </w:r>
      <w:r>
        <w:t>1.8 billion</w:t>
      </w:r>
      <w:r w:rsidR="00D85053">
        <w:t xml:space="preserve"> trade balance in agriculture. The US balance of trade in crop production was -$828 million, animal production -607 million, forestry and logging 2 million, and fishing, hunting, and trapping -$386 million. Over the 2004-2014 </w:t>
      </w:r>
      <w:proofErr w:type="gramStart"/>
      <w:r w:rsidR="00D85053">
        <w:t>period</w:t>
      </w:r>
      <w:proofErr w:type="gramEnd"/>
      <w:r w:rsidR="00D85053">
        <w:t xml:space="preserve">, the US imported $24.7 billion more in agricultural products than it exported. </w:t>
      </w:r>
    </w:p>
    <w:p w:rsidR="008D4663" w:rsidRDefault="00057380" w:rsidP="00057380">
      <w:r>
        <w:tab/>
      </w:r>
      <w:r w:rsidR="00D85053">
        <w:t xml:space="preserve">The US and Singapore trade agreement also went into effect in 2004. </w:t>
      </w:r>
      <w:r w:rsidR="00A53A93">
        <w:t>Singapore has never been a major agricultural exporter to the US</w:t>
      </w:r>
      <w:r w:rsidR="00864AF1">
        <w:t>.</w:t>
      </w:r>
      <w:r w:rsidR="00BA37E9">
        <w:t xml:space="preserve"> </w:t>
      </w:r>
      <w:r w:rsidR="00864AF1">
        <w:t>Over the 2004-2014 period</w:t>
      </w:r>
      <w:r w:rsidR="00BA37E9">
        <w:t>,</w:t>
      </w:r>
      <w:r w:rsidR="00A53A93">
        <w:t xml:space="preserve"> agricultural exports declined by $47 million while US exports to Singapore increased by $61 million, resulting in an improvement in the US agricultural balance of trade of $108 billion.</w:t>
      </w:r>
      <w:r w:rsidR="00864AF1">
        <w:t xml:space="preserve"> </w:t>
      </w:r>
    </w:p>
    <w:p w:rsidR="00A53A93" w:rsidRDefault="00A53A93" w:rsidP="00057380">
      <w:r>
        <w:tab/>
        <w:t xml:space="preserve">A trade agreement with Australia </w:t>
      </w:r>
      <w:r w:rsidR="003E50BC">
        <w:t xml:space="preserve">went into effect in 2004. Though Australia has significant agricultural land, US agricultural exports to Australia increased by $202 million since the agreement went into effect with the biggest gain ($167 million) being captured by crop production. </w:t>
      </w:r>
      <w:r w:rsidR="004B3F92">
        <w:t>Total change in US exports to Australia since the implementation of the trade agreement was $202 million.  US imports</w:t>
      </w:r>
      <w:r w:rsidR="003E50BC">
        <w:t xml:space="preserve"> of Australian agricultural products increased by $27 million over that same period</w:t>
      </w:r>
      <w:r w:rsidR="004B3F92">
        <w:t>. The result was</w:t>
      </w:r>
      <w:r w:rsidR="003E50BC">
        <w:t xml:space="preserve"> </w:t>
      </w:r>
      <w:r w:rsidR="004B3F92">
        <w:t xml:space="preserve">a </w:t>
      </w:r>
      <w:r w:rsidR="00BA37E9">
        <w:t xml:space="preserve">net </w:t>
      </w:r>
      <w:r w:rsidR="004B3F92">
        <w:t>positive change in the balance of trade in agricultural products of $175 million.</w:t>
      </w:r>
    </w:p>
    <w:p w:rsidR="004B3F92" w:rsidRDefault="004B3F92" w:rsidP="00057380">
      <w:r>
        <w:tab/>
        <w:t xml:space="preserve">The US also entered into trade agreements with Bahrain and Morocco that went into effect in 2006. Bahrain is not a major importer of agricultural products from the US and as a result the increase in the balance of trade was $9 million. With Morocco the change in the </w:t>
      </w:r>
      <w:r>
        <w:lastRenderedPageBreak/>
        <w:t>balance of trade over the 2006-2014 period wa</w:t>
      </w:r>
      <w:r w:rsidR="005E4BA9">
        <w:t xml:space="preserve">s -$90 million with crop agriculture suffering the most. </w:t>
      </w:r>
    </w:p>
    <w:p w:rsidR="004B3F92" w:rsidRDefault="005E4BA9" w:rsidP="00057380">
      <w:r>
        <w:tab/>
        <w:t xml:space="preserve">The net change in the agricultural balance of trade for the </w:t>
      </w:r>
      <w:r w:rsidR="005C14AC">
        <w:t xml:space="preserve">six </w:t>
      </w:r>
      <w:r>
        <w:t>agricultural trade agreements that we have examined in this column was -$</w:t>
      </w:r>
      <w:r w:rsidR="00A129BA">
        <w:t>1.6 b</w:t>
      </w:r>
      <w:r>
        <w:t>illion. While that number is relatively small, it is</w:t>
      </w:r>
      <w:r w:rsidR="00864AF1">
        <w:t xml:space="preserve"> likely</w:t>
      </w:r>
      <w:r>
        <w:t xml:space="preserve"> not the </w:t>
      </w:r>
      <w:r w:rsidR="00864AF1">
        <w:t xml:space="preserve">size or direction of </w:t>
      </w:r>
      <w:r w:rsidR="00960CF7">
        <w:t xml:space="preserve">net </w:t>
      </w:r>
      <w:r w:rsidR="00340F6A">
        <w:t xml:space="preserve">change </w:t>
      </w:r>
      <w:r>
        <w:t xml:space="preserve">that trade agreement proponents would have </w:t>
      </w:r>
      <w:r w:rsidR="00864AF1">
        <w:t xml:space="preserve">had </w:t>
      </w:r>
      <w:r>
        <w:t xml:space="preserve">farmers believe at the time these agreements </w:t>
      </w:r>
      <w:r w:rsidR="00864AF1">
        <w:t xml:space="preserve">were </w:t>
      </w:r>
      <w:r>
        <w:t xml:space="preserve">put into effect. </w:t>
      </w:r>
    </w:p>
    <w:p w:rsidR="00667BFE" w:rsidRDefault="00667BFE" w:rsidP="00667BFE">
      <w:pPr>
        <w:pStyle w:val="BodyText"/>
      </w:pPr>
      <w:r>
        <w:t xml:space="preserve">Harwood D. Schaffer is a Research Assistant Professor in the Agricultural Policy Analysis Center, Institute of Agriculture, </w:t>
      </w:r>
      <w:proofErr w:type="gramStart"/>
      <w:r>
        <w:t>University</w:t>
      </w:r>
      <w:proofErr w:type="gramEnd"/>
      <w:r>
        <w:t xml:space="preserve"> of Tennessee.</w:t>
      </w:r>
    </w:p>
    <w:p w:rsidR="00667BFE" w:rsidRDefault="00667BFE" w:rsidP="00667BFE">
      <w:pPr>
        <w:pStyle w:val="BodyText"/>
      </w:pPr>
      <w:r>
        <w:t>Daryll E. Ray is Emeritus Professor, Institute of Agriculture, University of Tennessee, and is the former Director of the Agricultural Policy Analysis Center (APAC). (865) 974-3666; Fax: (865) 974-7484</w:t>
      </w:r>
    </w:p>
    <w:p w:rsidR="00667BFE" w:rsidRDefault="00667BFE" w:rsidP="00667BFE">
      <w:pPr>
        <w:pStyle w:val="BodyText"/>
      </w:pPr>
      <w:proofErr w:type="gramStart"/>
      <w:r>
        <w:t>; hdschaffer@utk.edu and dray@utk.edu; http://www.agpolicy.org.</w:t>
      </w:r>
      <w:proofErr w:type="gramEnd"/>
    </w:p>
    <w:p w:rsidR="00667BFE" w:rsidRDefault="00667BFE" w:rsidP="00057380"/>
    <w:sectPr w:rsidR="0066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1BF9"/>
    <w:multiLevelType w:val="hybridMultilevel"/>
    <w:tmpl w:val="AF22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62"/>
    <w:rsid w:val="000542C5"/>
    <w:rsid w:val="00057380"/>
    <w:rsid w:val="000D4C15"/>
    <w:rsid w:val="000D6663"/>
    <w:rsid w:val="00267C8F"/>
    <w:rsid w:val="002C1B48"/>
    <w:rsid w:val="00340F6A"/>
    <w:rsid w:val="003E50BC"/>
    <w:rsid w:val="004B3F92"/>
    <w:rsid w:val="005C14AC"/>
    <w:rsid w:val="005E4BA9"/>
    <w:rsid w:val="00667BFE"/>
    <w:rsid w:val="00864AF1"/>
    <w:rsid w:val="008A7362"/>
    <w:rsid w:val="008D4663"/>
    <w:rsid w:val="00960CF7"/>
    <w:rsid w:val="009A1459"/>
    <w:rsid w:val="00A129BA"/>
    <w:rsid w:val="00A53A93"/>
    <w:rsid w:val="00BA37E9"/>
    <w:rsid w:val="00BD2102"/>
    <w:rsid w:val="00C6213C"/>
    <w:rsid w:val="00D85053"/>
    <w:rsid w:val="00E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0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102"/>
    <w:pPr>
      <w:keepNext/>
      <w:keepLines/>
      <w:spacing w:before="120" w:after="240"/>
      <w:outlineLvl w:val="0"/>
    </w:pPr>
    <w:rPr>
      <w:rFonts w:ascii="Arial" w:eastAsiaTheme="majorEastAsia" w:hAnsi="Arial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102"/>
    <w:pPr>
      <w:keepNext/>
      <w:keepLines/>
      <w:spacing w:before="120" w:after="60"/>
      <w:outlineLvl w:val="1"/>
    </w:pPr>
    <w:rPr>
      <w:rFonts w:ascii="Arial" w:eastAsiaTheme="majorEastAsia" w:hAnsi="Arial" w:cs="Times New Roman"/>
      <w:b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102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idAm"/>
    <w:basedOn w:val="Normal"/>
    <w:next w:val="Normal"/>
    <w:link w:val="TitleChar"/>
    <w:uiPriority w:val="10"/>
    <w:qFormat/>
    <w:rsid w:val="000542C5"/>
    <w:pPr>
      <w:framePr w:wrap="around" w:vAnchor="text" w:hAnchor="text" w:y="1"/>
      <w:pBdr>
        <w:bottom w:val="single" w:sz="8" w:space="4" w:color="4F81BD" w:themeColor="accent1"/>
      </w:pBdr>
      <w:spacing w:after="12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aliases w:val="MidAm Char"/>
    <w:basedOn w:val="DefaultParagraphFont"/>
    <w:link w:val="Title"/>
    <w:uiPriority w:val="10"/>
    <w:rsid w:val="000542C5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id-Am">
    <w:name w:val="Mid-Am"/>
    <w:basedOn w:val="Normal"/>
    <w:link w:val="Mid-AmChar"/>
    <w:qFormat/>
    <w:rsid w:val="00BD2102"/>
    <w:pPr>
      <w:spacing w:after="240"/>
    </w:pPr>
    <w:rPr>
      <w:b/>
      <w:sz w:val="48"/>
      <w:szCs w:val="48"/>
    </w:rPr>
  </w:style>
  <w:style w:type="character" w:customStyle="1" w:styleId="Mid-AmChar">
    <w:name w:val="Mid-Am Char"/>
    <w:basedOn w:val="DefaultParagraphFont"/>
    <w:link w:val="Mid-Am"/>
    <w:rsid w:val="00BD2102"/>
    <w:rPr>
      <w:rFonts w:ascii="Times New Roman" w:hAnsi="Times New Roman"/>
      <w:b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D2102"/>
    <w:rPr>
      <w:rFonts w:ascii="Arial" w:eastAsiaTheme="majorEastAsia" w:hAnsi="Arial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D2102"/>
    <w:rPr>
      <w:rFonts w:ascii="Arial" w:eastAsiaTheme="majorEastAsia" w:hAnsi="Arial" w:cs="Times New Roman"/>
      <w:b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2102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4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A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4A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AF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AF1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A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AF1"/>
    <w:rPr>
      <w:rFonts w:ascii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BFE"/>
    <w:pPr>
      <w:tabs>
        <w:tab w:val="left" w:pos="360"/>
      </w:tabs>
      <w:autoSpaceDE w:val="0"/>
      <w:autoSpaceDN w:val="0"/>
      <w:adjustRightInd w:val="0"/>
      <w:spacing w:line="230" w:lineRule="atLeast"/>
    </w:pPr>
    <w:rPr>
      <w:rFonts w:cs="Times New Roman"/>
      <w:color w:val="00000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BFE"/>
    <w:rPr>
      <w:rFonts w:ascii="Times New Roman" w:hAnsi="Times New Roma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0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102"/>
    <w:pPr>
      <w:keepNext/>
      <w:keepLines/>
      <w:spacing w:before="120" w:after="240"/>
      <w:outlineLvl w:val="0"/>
    </w:pPr>
    <w:rPr>
      <w:rFonts w:ascii="Arial" w:eastAsiaTheme="majorEastAsia" w:hAnsi="Arial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102"/>
    <w:pPr>
      <w:keepNext/>
      <w:keepLines/>
      <w:spacing w:before="120" w:after="60"/>
      <w:outlineLvl w:val="1"/>
    </w:pPr>
    <w:rPr>
      <w:rFonts w:ascii="Arial" w:eastAsiaTheme="majorEastAsia" w:hAnsi="Arial" w:cs="Times New Roman"/>
      <w:b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102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idAm"/>
    <w:basedOn w:val="Normal"/>
    <w:next w:val="Normal"/>
    <w:link w:val="TitleChar"/>
    <w:uiPriority w:val="10"/>
    <w:qFormat/>
    <w:rsid w:val="000542C5"/>
    <w:pPr>
      <w:framePr w:wrap="around" w:vAnchor="text" w:hAnchor="text" w:y="1"/>
      <w:pBdr>
        <w:bottom w:val="single" w:sz="8" w:space="4" w:color="4F81BD" w:themeColor="accent1"/>
      </w:pBdr>
      <w:spacing w:after="12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aliases w:val="MidAm Char"/>
    <w:basedOn w:val="DefaultParagraphFont"/>
    <w:link w:val="Title"/>
    <w:uiPriority w:val="10"/>
    <w:rsid w:val="000542C5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id-Am">
    <w:name w:val="Mid-Am"/>
    <w:basedOn w:val="Normal"/>
    <w:link w:val="Mid-AmChar"/>
    <w:qFormat/>
    <w:rsid w:val="00BD2102"/>
    <w:pPr>
      <w:spacing w:after="240"/>
    </w:pPr>
    <w:rPr>
      <w:b/>
      <w:sz w:val="48"/>
      <w:szCs w:val="48"/>
    </w:rPr>
  </w:style>
  <w:style w:type="character" w:customStyle="1" w:styleId="Mid-AmChar">
    <w:name w:val="Mid-Am Char"/>
    <w:basedOn w:val="DefaultParagraphFont"/>
    <w:link w:val="Mid-Am"/>
    <w:rsid w:val="00BD2102"/>
    <w:rPr>
      <w:rFonts w:ascii="Times New Roman" w:hAnsi="Times New Roman"/>
      <w:b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D2102"/>
    <w:rPr>
      <w:rFonts w:ascii="Arial" w:eastAsiaTheme="majorEastAsia" w:hAnsi="Arial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D2102"/>
    <w:rPr>
      <w:rFonts w:ascii="Arial" w:eastAsiaTheme="majorEastAsia" w:hAnsi="Arial" w:cs="Times New Roman"/>
      <w:b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2102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4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A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4A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AF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AF1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A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AF1"/>
    <w:rPr>
      <w:rFonts w:ascii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BFE"/>
    <w:pPr>
      <w:tabs>
        <w:tab w:val="left" w:pos="360"/>
      </w:tabs>
      <w:autoSpaceDE w:val="0"/>
      <w:autoSpaceDN w:val="0"/>
      <w:adjustRightInd w:val="0"/>
      <w:spacing w:line="230" w:lineRule="atLeast"/>
    </w:pPr>
    <w:rPr>
      <w:rFonts w:cs="Times New Roman"/>
      <w:color w:val="00000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BFE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Harwood</dc:creator>
  <cp:lastModifiedBy>Julie Goldman</cp:lastModifiedBy>
  <cp:revision>2</cp:revision>
  <dcterms:created xsi:type="dcterms:W3CDTF">2016-01-28T18:50:00Z</dcterms:created>
  <dcterms:modified xsi:type="dcterms:W3CDTF">2016-01-28T18:50:00Z</dcterms:modified>
</cp:coreProperties>
</file>